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56" w:afterLines="50"/>
        <w:rPr>
          <w:rFonts w:ascii="黑体" w:hAnsi="黑体" w:eastAsia="黑体"/>
          <w:sz w:val="32"/>
          <w:szCs w:val="32"/>
          <w:lang w:eastAsia="zh-CN"/>
        </w:rPr>
      </w:pPr>
      <w:r>
        <w:rPr>
          <w:rFonts w:hint="eastAsia" w:ascii="黑体" w:hAnsi="黑体" w:eastAsia="黑体"/>
          <w:sz w:val="32"/>
          <w:szCs w:val="32"/>
          <w:lang w:eastAsia="zh-CN"/>
        </w:rPr>
        <w:t>附件</w:t>
      </w:r>
      <w:r>
        <w:rPr>
          <w:rFonts w:ascii="黑体" w:hAnsi="黑体" w:eastAsia="黑体"/>
          <w:sz w:val="32"/>
          <w:szCs w:val="32"/>
          <w:lang w:eastAsia="zh-CN"/>
        </w:rPr>
        <w:t>2</w:t>
      </w:r>
    </w:p>
    <w:p>
      <w:pPr>
        <w:pStyle w:val="7"/>
        <w:spacing w:line="560" w:lineRule="exact"/>
        <w:jc w:val="center"/>
        <w:rPr>
          <w:rFonts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常州工程职业技术学院教师竞赛级别</w:t>
      </w:r>
    </w:p>
    <w:p>
      <w:pPr>
        <w:pStyle w:val="7"/>
        <w:spacing w:after="156" w:afterLines="50" w:line="560" w:lineRule="exact"/>
        <w:jc w:val="center"/>
        <w:rPr>
          <w:rFonts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认定公示表（</w:t>
      </w:r>
      <w:r>
        <w:rPr>
          <w:rFonts w:ascii="方正小标宋简体" w:hAnsi="黑体" w:eastAsia="PMingLiU"/>
          <w:sz w:val="44"/>
          <w:szCs w:val="44"/>
        </w:rPr>
        <w:t xml:space="preserve">2024 </w:t>
      </w:r>
      <w:r>
        <w:rPr>
          <w:rFonts w:hint="eastAsia" w:ascii="方正小标宋简体" w:hAnsi="黑体" w:eastAsia="方正小标宋简体"/>
          <w:sz w:val="44"/>
          <w:szCs w:val="44"/>
          <w:lang w:eastAsia="zh-CN"/>
        </w:rPr>
        <w:t>年）</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225"/>
        <w:gridCol w:w="1496"/>
        <w:gridCol w:w="326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序号</w:t>
            </w:r>
          </w:p>
        </w:tc>
        <w:tc>
          <w:tcPr>
            <w:tcW w:w="2225"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赛</w:t>
            </w:r>
            <w:r>
              <w:rPr>
                <w:rFonts w:hint="eastAsia" w:ascii="宋体" w:hAnsi="宋体" w:eastAsia="宋体" w:cs="宋体"/>
                <w:sz w:val="21"/>
                <w:szCs w:val="21"/>
                <w:lang w:eastAsia="zh-CN" w:bidi="ar-SA"/>
              </w:rPr>
              <w:t>事</w:t>
            </w:r>
            <w:r>
              <w:rPr>
                <w:rFonts w:ascii="宋体" w:hAnsi="宋体" w:eastAsia="宋体" w:cs="宋体"/>
                <w:sz w:val="21"/>
                <w:szCs w:val="21"/>
                <w:lang w:eastAsia="zh-CN" w:bidi="ar-SA"/>
              </w:rPr>
              <w:t>名称</w:t>
            </w:r>
          </w:p>
        </w:tc>
        <w:tc>
          <w:tcPr>
            <w:tcW w:w="1496"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主办单位</w:t>
            </w:r>
          </w:p>
        </w:tc>
        <w:tc>
          <w:tcPr>
            <w:tcW w:w="3265"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赛事简介</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1</w:t>
            </w:r>
          </w:p>
        </w:tc>
        <w:tc>
          <w:tcPr>
            <w:tcW w:w="2225"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化学实验技术赛项</w:t>
            </w:r>
          </w:p>
        </w:tc>
        <w:tc>
          <w:tcPr>
            <w:tcW w:w="1496" w:type="dxa"/>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江苏省教育厅</w:t>
            </w:r>
          </w:p>
        </w:tc>
        <w:tc>
          <w:tcPr>
            <w:tcW w:w="3265"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本赛项以检验教学成果、体现世界技能大赛及QHSE理念、促进职业教育高质量发展为指导思想，通过竞赛营造崇尚技能的社会氛围，培育选手的工匠精神，实现教学内容与职业的标准对接，促进选手化学实验技术能力的提升，引领职业院校专业建设与课程改革。本赛项考查选手的物质制备和分析等基本理论知识、执行国家及行业标准规范的能力、科学的实验工作方法和实验技巧、实事求是的科学态度、严谨细致的工作作风、沟通及人际交往能力、清洁整齐的良好工作习惯和职业健康、安全、环保意识等。</w:t>
            </w:r>
          </w:p>
        </w:tc>
        <w:tc>
          <w:tcPr>
            <w:tcW w:w="1601" w:type="dxa"/>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bidi="ar-SA"/>
              </w:rPr>
              <w:t>Ⅱ级甲等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2</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食品安全与质量检测（</w:t>
            </w:r>
            <w:r>
              <w:rPr>
                <w:rFonts w:ascii="宋体" w:hAnsi="宋体" w:eastAsia="宋体" w:cs="宋体"/>
                <w:sz w:val="21"/>
                <w:szCs w:val="21"/>
                <w:lang w:eastAsia="zh-CN" w:bidi="ar-SA"/>
              </w:rPr>
              <w:t>GZ025</w:t>
            </w:r>
            <w:r>
              <w:rPr>
                <w:rFonts w:hint="eastAsia" w:ascii="宋体" w:hAnsi="宋体" w:eastAsia="宋体" w:cs="宋体"/>
                <w:sz w:val="21"/>
                <w:szCs w:val="21"/>
                <w:lang w:eastAsia="zh-CN" w:bidi="ar-SA"/>
              </w:rPr>
              <w:t>）</w:t>
            </w:r>
          </w:p>
          <w:p>
            <w:pPr>
              <w:widowControl/>
              <w:rPr>
                <w:rFonts w:ascii="宋体" w:hAnsi="宋体" w:eastAsia="宋体" w:cs="宋体"/>
                <w:color w:val="000000"/>
                <w:kern w:val="0"/>
                <w:sz w:val="21"/>
                <w:szCs w:val="21"/>
                <w:lang w:val="en-US" w:eastAsia="zh-CN" w:bidi="ar-SA"/>
              </w:rPr>
            </w:pPr>
          </w:p>
        </w:tc>
        <w:tc>
          <w:tcPr>
            <w:tcW w:w="1496"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教育部</w:t>
            </w:r>
            <w:r>
              <w:rPr>
                <w:rFonts w:ascii="宋体" w:hAnsi="宋体" w:eastAsia="宋体" w:cs="宋体"/>
                <w:sz w:val="21"/>
                <w:szCs w:val="21"/>
                <w:lang w:eastAsia="zh-CN" w:bidi="ar-SA"/>
              </w:rPr>
              <w:t>/</w:t>
            </w:r>
            <w:r>
              <w:rPr>
                <w:rFonts w:hint="eastAsia" w:ascii="宋体" w:hAnsi="宋体" w:eastAsia="宋体" w:cs="宋体"/>
                <w:sz w:val="21"/>
                <w:szCs w:val="21"/>
                <w:lang w:eastAsia="zh-CN" w:bidi="ar-SA"/>
              </w:rPr>
              <w:t>江苏省教育厅</w:t>
            </w:r>
            <w:r>
              <w:rPr>
                <w:rFonts w:ascii="宋体" w:hAnsi="宋体" w:eastAsia="宋体" w:cs="宋体"/>
                <w:sz w:val="21"/>
                <w:szCs w:val="21"/>
                <w:lang w:eastAsia="zh-CN" w:bidi="ar-SA"/>
              </w:rPr>
              <w:t>/</w:t>
            </w:r>
            <w:r>
              <w:rPr>
                <w:rFonts w:hint="eastAsia" w:ascii="宋体" w:hAnsi="宋体" w:eastAsia="宋体" w:cs="宋体"/>
                <w:sz w:val="21"/>
                <w:szCs w:val="21"/>
                <w:lang w:eastAsia="zh-CN" w:bidi="ar-SA"/>
              </w:rPr>
              <w:t>江苏省职业院校技能大赛组委会</w:t>
            </w:r>
          </w:p>
        </w:tc>
        <w:tc>
          <w:tcPr>
            <w:tcW w:w="3265" w:type="dxa"/>
            <w:shd w:val="clear" w:color="auto" w:fill="auto"/>
            <w:vAlign w:val="center"/>
          </w:tcPr>
          <w:p>
            <w:pPr>
              <w:widowControl/>
              <w:rPr>
                <w:rFonts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该赛项是全国职业院校技能大赛赛项（</w:t>
            </w:r>
            <w:r>
              <w:rPr>
                <w:rFonts w:ascii="宋体" w:hAnsi="宋体" w:eastAsia="宋体" w:cs="宋体"/>
                <w:sz w:val="21"/>
                <w:szCs w:val="21"/>
                <w:lang w:eastAsia="zh-CN" w:bidi="ar-SA"/>
              </w:rPr>
              <w:t>GZ025</w:t>
            </w:r>
            <w:r>
              <w:rPr>
                <w:rFonts w:hint="eastAsia" w:ascii="宋体" w:hAnsi="宋体" w:eastAsia="宋体" w:cs="宋体"/>
                <w:sz w:val="21"/>
                <w:szCs w:val="21"/>
                <w:lang w:eastAsia="zh-CN" w:bidi="ar-SA"/>
              </w:rPr>
              <w:t>），主要对接国家“十四五”规划——“食品安全战略和食品药品安全重大民生工程”。赛项设置上对接产业前沿技术，引入行业标准，通过考察参赛选手在食品安全与质量检测领域所涉及的食品安全管理知识、食品微生物检验和理化分析技能等多方面知识和技能。</w:t>
            </w:r>
          </w:p>
        </w:tc>
        <w:tc>
          <w:tcPr>
            <w:tcW w:w="1601" w:type="dxa"/>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bidi="ar-SA"/>
              </w:rPr>
              <w:t>Ⅱ</w:t>
            </w:r>
            <w:r>
              <w:rPr>
                <w:rFonts w:ascii="宋体" w:hAnsi="宋体" w:eastAsia="宋体" w:cs="宋体"/>
                <w:sz w:val="21"/>
                <w:szCs w:val="21"/>
                <w:lang w:eastAsia="zh-CN" w:bidi="ar-SA"/>
              </w:rPr>
              <w:t xml:space="preserve"> </w:t>
            </w:r>
            <w:r>
              <w:rPr>
                <w:rFonts w:hint="eastAsia" w:ascii="宋体" w:hAnsi="宋体" w:eastAsia="宋体" w:cs="宋体"/>
                <w:sz w:val="21"/>
                <w:szCs w:val="21"/>
                <w:lang w:eastAsia="zh-CN" w:bidi="ar-SA"/>
              </w:rPr>
              <w:t>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3</w:t>
            </w:r>
          </w:p>
        </w:tc>
        <w:tc>
          <w:tcPr>
            <w:tcW w:w="2225" w:type="dxa"/>
            <w:shd w:val="clear" w:color="auto" w:fill="auto"/>
            <w:vAlign w:val="center"/>
          </w:tcPr>
          <w:p>
            <w:pPr>
              <w:widowControl/>
              <w:rPr>
                <w:rFonts w:ascii="宋体" w:hAnsi="宋体" w:eastAsia="宋体" w:cs="宋体"/>
                <w:color w:val="000000"/>
                <w:kern w:val="0"/>
                <w:sz w:val="21"/>
                <w:szCs w:val="21"/>
                <w:lang w:val="en-US" w:eastAsia="zh-CN" w:bidi="ar-SA"/>
              </w:rPr>
            </w:pPr>
          </w:p>
        </w:tc>
        <w:tc>
          <w:tcPr>
            <w:tcW w:w="1496" w:type="dxa"/>
            <w:shd w:val="clear" w:color="auto" w:fill="auto"/>
            <w:vAlign w:val="center"/>
          </w:tcPr>
          <w:p>
            <w:pPr>
              <w:widowControl/>
              <w:rPr>
                <w:rFonts w:ascii="宋体" w:hAnsi="宋体" w:eastAsia="宋体" w:cs="宋体"/>
                <w:color w:val="000000"/>
                <w:kern w:val="0"/>
                <w:sz w:val="21"/>
                <w:szCs w:val="21"/>
                <w:lang w:val="en-US" w:eastAsia="zh-CN" w:bidi="ar-SA"/>
              </w:rPr>
            </w:pPr>
          </w:p>
        </w:tc>
        <w:tc>
          <w:tcPr>
            <w:tcW w:w="3265" w:type="dxa"/>
            <w:shd w:val="clear" w:color="auto" w:fill="auto"/>
            <w:vAlign w:val="center"/>
          </w:tcPr>
          <w:p>
            <w:pPr>
              <w:widowControl/>
              <w:rPr>
                <w:rFonts w:ascii="宋体" w:hAnsi="宋体" w:eastAsia="宋体" w:cs="宋体"/>
                <w:color w:val="000000"/>
                <w:kern w:val="0"/>
                <w:sz w:val="21"/>
                <w:szCs w:val="21"/>
                <w:lang w:val="en-US" w:eastAsia="zh-CN" w:bidi="ar-SA"/>
              </w:rPr>
            </w:pPr>
          </w:p>
        </w:tc>
        <w:tc>
          <w:tcPr>
            <w:tcW w:w="1601" w:type="dxa"/>
            <w:shd w:val="clear" w:color="auto" w:fill="auto"/>
            <w:vAlign w:val="center"/>
          </w:tcPr>
          <w:p>
            <w:pPr>
              <w:widowControl/>
              <w:jc w:val="center"/>
              <w:rPr>
                <w:rFonts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4</w:t>
            </w:r>
          </w:p>
        </w:tc>
        <w:tc>
          <w:tcPr>
            <w:tcW w:w="2225" w:type="dxa"/>
            <w:shd w:val="clear" w:color="auto" w:fill="auto"/>
            <w:vAlign w:val="center"/>
          </w:tcPr>
          <w:p>
            <w:pPr>
              <w:widowControl/>
              <w:rPr>
                <w:rFonts w:ascii="宋体" w:hAnsi="宋体" w:eastAsia="宋体" w:cs="宋体"/>
                <w:sz w:val="21"/>
                <w:szCs w:val="21"/>
                <w:lang w:eastAsia="zh-CN" w:bidi="ar-SA"/>
              </w:rPr>
            </w:pPr>
          </w:p>
        </w:tc>
        <w:tc>
          <w:tcPr>
            <w:tcW w:w="1496" w:type="dxa"/>
            <w:shd w:val="clear" w:color="auto" w:fill="auto"/>
            <w:vAlign w:val="center"/>
          </w:tcPr>
          <w:p>
            <w:pPr>
              <w:widowControl/>
              <w:rPr>
                <w:rFonts w:ascii="宋体" w:hAnsi="宋体" w:eastAsia="宋体" w:cs="宋体"/>
                <w:sz w:val="21"/>
                <w:szCs w:val="21"/>
                <w:lang w:eastAsia="zh-CN" w:bidi="ar-SA"/>
              </w:rPr>
            </w:pPr>
          </w:p>
        </w:tc>
        <w:tc>
          <w:tcPr>
            <w:tcW w:w="3265"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5</w:t>
            </w:r>
          </w:p>
        </w:tc>
        <w:tc>
          <w:tcPr>
            <w:tcW w:w="2225" w:type="dxa"/>
            <w:shd w:val="clear" w:color="auto" w:fill="auto"/>
            <w:vAlign w:val="center"/>
          </w:tcPr>
          <w:p>
            <w:pPr>
              <w:widowControl/>
              <w:jc w:val="center"/>
              <w:rPr>
                <w:rFonts w:ascii="宋体" w:hAnsi="宋体" w:eastAsia="宋体" w:cs="宋体"/>
                <w:sz w:val="21"/>
                <w:szCs w:val="21"/>
                <w:lang w:eastAsia="zh-CN" w:bidi="ar-SA"/>
              </w:rPr>
            </w:pPr>
          </w:p>
        </w:tc>
        <w:tc>
          <w:tcPr>
            <w:tcW w:w="1496" w:type="dxa"/>
            <w:shd w:val="clear" w:color="auto" w:fill="auto"/>
            <w:vAlign w:val="center"/>
          </w:tcPr>
          <w:p>
            <w:pPr>
              <w:widowControl/>
              <w:rPr>
                <w:rFonts w:ascii="宋体" w:hAnsi="宋体" w:eastAsia="宋体" w:cs="宋体"/>
                <w:sz w:val="21"/>
                <w:szCs w:val="21"/>
                <w:lang w:eastAsia="zh-CN" w:bidi="ar-SA"/>
              </w:rPr>
            </w:pPr>
          </w:p>
        </w:tc>
        <w:tc>
          <w:tcPr>
            <w:tcW w:w="3265"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6</w:t>
            </w:r>
          </w:p>
        </w:tc>
        <w:tc>
          <w:tcPr>
            <w:tcW w:w="2225" w:type="dxa"/>
            <w:shd w:val="clear" w:color="auto" w:fill="auto"/>
            <w:vAlign w:val="center"/>
          </w:tcPr>
          <w:p>
            <w:pPr>
              <w:widowControl/>
              <w:rPr>
                <w:rFonts w:ascii="宋体" w:hAnsi="宋体" w:eastAsia="宋体" w:cs="宋体"/>
                <w:sz w:val="21"/>
                <w:szCs w:val="21"/>
                <w:lang w:eastAsia="zh-CN" w:bidi="ar-SA"/>
              </w:rPr>
            </w:pPr>
          </w:p>
        </w:tc>
        <w:tc>
          <w:tcPr>
            <w:tcW w:w="1496" w:type="dxa"/>
            <w:shd w:val="clear" w:color="auto" w:fill="auto"/>
            <w:vAlign w:val="center"/>
          </w:tcPr>
          <w:p>
            <w:pPr>
              <w:widowControl/>
              <w:rPr>
                <w:rFonts w:ascii="宋体" w:hAnsi="宋体" w:eastAsia="宋体" w:cs="宋体"/>
                <w:sz w:val="21"/>
                <w:szCs w:val="21"/>
                <w:lang w:eastAsia="zh-CN" w:bidi="ar-SA"/>
              </w:rPr>
            </w:pPr>
          </w:p>
        </w:tc>
        <w:tc>
          <w:tcPr>
            <w:tcW w:w="3265"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7</w:t>
            </w:r>
          </w:p>
        </w:tc>
        <w:tc>
          <w:tcPr>
            <w:tcW w:w="2225" w:type="dxa"/>
            <w:shd w:val="clear" w:color="auto" w:fill="auto"/>
            <w:vAlign w:val="center"/>
          </w:tcPr>
          <w:p>
            <w:pPr>
              <w:widowControl/>
              <w:rPr>
                <w:rFonts w:ascii="宋体" w:hAnsi="宋体" w:eastAsia="宋体" w:cs="宋体"/>
                <w:sz w:val="21"/>
                <w:szCs w:val="21"/>
                <w:lang w:eastAsia="zh-CN" w:bidi="ar-SA"/>
              </w:rPr>
            </w:pPr>
          </w:p>
        </w:tc>
        <w:tc>
          <w:tcPr>
            <w:tcW w:w="1496" w:type="dxa"/>
            <w:shd w:val="clear" w:color="auto" w:fill="auto"/>
            <w:vAlign w:val="center"/>
          </w:tcPr>
          <w:p>
            <w:pPr>
              <w:widowControl/>
              <w:rPr>
                <w:rFonts w:ascii="宋体" w:hAnsi="宋体" w:eastAsia="宋体" w:cs="宋体"/>
                <w:sz w:val="21"/>
                <w:szCs w:val="21"/>
                <w:lang w:eastAsia="zh-CN" w:bidi="ar-SA"/>
              </w:rPr>
            </w:pPr>
          </w:p>
        </w:tc>
        <w:tc>
          <w:tcPr>
            <w:tcW w:w="3265"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8</w:t>
            </w:r>
          </w:p>
        </w:tc>
        <w:tc>
          <w:tcPr>
            <w:tcW w:w="2225" w:type="dxa"/>
            <w:shd w:val="clear" w:color="auto" w:fill="auto"/>
            <w:vAlign w:val="center"/>
          </w:tcPr>
          <w:p>
            <w:pPr>
              <w:widowControl/>
              <w:rPr>
                <w:rFonts w:ascii="宋体" w:hAnsi="宋体" w:eastAsia="宋体" w:cs="宋体"/>
                <w:sz w:val="21"/>
                <w:szCs w:val="21"/>
                <w:lang w:eastAsia="zh-CN" w:bidi="ar-SA"/>
              </w:rPr>
            </w:pPr>
          </w:p>
        </w:tc>
        <w:tc>
          <w:tcPr>
            <w:tcW w:w="1496" w:type="dxa"/>
            <w:shd w:val="clear" w:color="auto" w:fill="auto"/>
            <w:vAlign w:val="center"/>
          </w:tcPr>
          <w:p>
            <w:pPr>
              <w:widowControl/>
              <w:rPr>
                <w:rFonts w:ascii="宋体" w:hAnsi="宋体" w:eastAsia="宋体" w:cs="宋体"/>
                <w:sz w:val="21"/>
                <w:szCs w:val="21"/>
                <w:lang w:eastAsia="zh-CN" w:bidi="ar-SA"/>
              </w:rPr>
            </w:pPr>
          </w:p>
        </w:tc>
        <w:tc>
          <w:tcPr>
            <w:tcW w:w="3265" w:type="dxa"/>
            <w:shd w:val="clear" w:color="auto" w:fill="auto"/>
            <w:vAlign w:val="center"/>
          </w:tcPr>
          <w:p>
            <w:pPr>
              <w:widowControl/>
              <w:rPr>
                <w:rFonts w:ascii="宋体" w:hAnsi="宋体" w:eastAsia="宋体" w:cs="宋体"/>
                <w:sz w:val="21"/>
                <w:szCs w:val="21"/>
                <w:lang w:eastAsia="zh-CN" w:bidi="ar-SA"/>
              </w:rPr>
            </w:pPr>
          </w:p>
        </w:tc>
        <w:tc>
          <w:tcPr>
            <w:tcW w:w="1601" w:type="dxa"/>
            <w:shd w:val="clear" w:color="auto" w:fill="auto"/>
            <w:vAlign w:val="center"/>
          </w:tcPr>
          <w:p>
            <w:pPr>
              <w:widowControl/>
              <w:jc w:val="center"/>
              <w:rPr>
                <w:rFonts w:ascii="宋体" w:hAnsi="宋体" w:eastAsia="宋体" w:cs="宋体"/>
                <w:sz w:val="21"/>
                <w:szCs w:val="21"/>
                <w:lang w:eastAsia="zh-CN" w:bidi="ar-S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B5932B-5605-4E8E-83AE-852E9FC8AA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D030F54-3BB8-4613-BED3-265BE7C95F1A}"/>
  </w:font>
  <w:font w:name="方正小标宋简体">
    <w:panose1 w:val="02000000000000000000"/>
    <w:charset w:val="86"/>
    <w:family w:val="script"/>
    <w:pitch w:val="default"/>
    <w:sig w:usb0="00000001" w:usb1="08000000" w:usb2="00000000" w:usb3="00000000" w:csb0="00040000" w:csb1="00000000"/>
    <w:embedRegular r:id="rId3" w:fontKey="{C28C0076-4822-4EE8-9C9E-18CF01AFC032}"/>
  </w:font>
  <w:font w:name="PMingLiU">
    <w:altName w:val="Microsoft JhengHei UI"/>
    <w:panose1 w:val="02010601000101010101"/>
    <w:charset w:val="88"/>
    <w:family w:val="roman"/>
    <w:pitch w:val="default"/>
    <w:sig w:usb0="00000000" w:usb1="00000000" w:usb2="00000016" w:usb3="00000000" w:csb0="00100001" w:csb1="00000000"/>
    <w:embedRegular r:id="rId4" w:fontKey="{4416E492-8832-4AD4-8839-4A0FCE82522E}"/>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zMWM0MjAyYzhkNjE5ZmY2OWE3NGI0ZGVjMjA2ZDIifQ=="/>
  </w:docVars>
  <w:rsids>
    <w:rsidRoot w:val="0034500A"/>
    <w:rsid w:val="00073706"/>
    <w:rsid w:val="000C4956"/>
    <w:rsid w:val="002105F8"/>
    <w:rsid w:val="0034500A"/>
    <w:rsid w:val="00E72702"/>
    <w:rsid w:val="00EE58F8"/>
    <w:rsid w:val="00EE6E46"/>
    <w:rsid w:val="00F96431"/>
    <w:rsid w:val="31997FD4"/>
    <w:rsid w:val="5F77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customStyle="1" w:styleId="6">
    <w:name w:val="Table caption|1_"/>
    <w:basedOn w:val="5"/>
    <w:link w:val="7"/>
    <w:qFormat/>
    <w:uiPriority w:val="0"/>
    <w:rPr>
      <w:rFonts w:ascii="宋体" w:hAnsi="宋体" w:eastAsia="宋体" w:cs="宋体"/>
      <w:sz w:val="26"/>
      <w:szCs w:val="26"/>
      <w:lang w:val="zh-TW" w:eastAsia="zh-TW" w:bidi="zh-TW"/>
    </w:rPr>
  </w:style>
  <w:style w:type="paragraph" w:customStyle="1" w:styleId="7">
    <w:name w:val="Table caption|1"/>
    <w:basedOn w:val="1"/>
    <w:link w:val="6"/>
    <w:qFormat/>
    <w:uiPriority w:val="0"/>
    <w:rPr>
      <w:rFonts w:ascii="宋体" w:hAnsi="宋体" w:eastAsia="宋体" w:cs="宋体"/>
      <w:color w:val="auto"/>
      <w:kern w:val="2"/>
      <w:sz w:val="26"/>
      <w:szCs w:val="26"/>
      <w:lang w:val="zh-TW" w:eastAsia="zh-TW" w:bidi="zh-TW"/>
    </w:rPr>
  </w:style>
  <w:style w:type="character" w:customStyle="1" w:styleId="8">
    <w:name w:val="页眉 字符"/>
    <w:basedOn w:val="5"/>
    <w:link w:val="3"/>
    <w:qFormat/>
    <w:uiPriority w:val="99"/>
    <w:rPr>
      <w:rFonts w:ascii="Times New Roman" w:hAnsi="Times New Roman" w:eastAsia="Times New Roman" w:cs="Times New Roman"/>
      <w:color w:val="000000"/>
      <w:kern w:val="0"/>
      <w:sz w:val="18"/>
      <w:szCs w:val="18"/>
      <w:lang w:eastAsia="en-US" w:bidi="en-US"/>
    </w:rPr>
  </w:style>
  <w:style w:type="character" w:customStyle="1" w:styleId="9">
    <w:name w:val="页脚 字符"/>
    <w:basedOn w:val="5"/>
    <w:link w:val="2"/>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238</Words>
  <Characters>256</Characters>
  <Lines>2</Lines>
  <Paragraphs>1</Paragraphs>
  <TotalTime>0</TotalTime>
  <ScaleCrop>false</ScaleCrop>
  <LinksUpToDate>false</LinksUpToDate>
  <CharactersWithSpaces>258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2020-09-21T09:39:00Z</dcterms:created>
  <dc:creator>YSP</dc:creator>
  <cp:lastModifiedBy>A5～Ｍy</cp:lastModifiedBy>
  <dcterms:modified xsi:type="dcterms:W3CDTF">2023-10-17T09:30:38Z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3710C0C27087466D879D1B57CC8E3277_12</vt:lpwstr>
  </property>
</Properties>
</file>